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2010/7 vom 21. Januar 2010</w:t>
      </w:r>
    </w:p>
    <w:p>
      <w:r>
        <w:t>Bundesverwaltungsgericht, 2010-01-21, DE</w:t>
      </w:r>
    </w:p>
    <w:p>
      <w:r>
        <w:rPr>
          <w:b/>
        </w:rPr>
        <w:t xml:space="preserve">Quelle: </w:t>
      </w:r>
      <w:r>
        <w:t>https://mcp.opencaselaw.ch/entscheid/bvger_BVGE 2010_7</w:t>
      </w:r>
    </w:p>
    <w:p>
      <w:r>
        <w:t>FR: TAF BVGE 2010/7 du 21 janvier 2010</w:t>
      </w:r>
    </w:p>
    <w:p>
      <w:r>
        <w:t>IT: TAF BVGE 2010/7 del 21 gennaio 2010</w:t>
      </w:r>
    </w:p>
    <w:p>
      <w:pPr>
        <w:pStyle w:val="Heading2"/>
      </w:pPr>
      <w:r>
        <w:t>Regeste</w:t>
      </w:r>
    </w:p>
    <w:p>
      <w:r>
        <w:t>Amts- und Rechtshilfe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(Darstellung der für den vorliegenden Fall einschlägigen Normen.)</w:t>
      </w:r>
    </w:p>
    <w:p>
      <w:r>
        <w:rPr>
          <w:b/>
        </w:rPr>
        <w:t>E. 5</w:t>
      </w:r>
    </w:p>
    <w:p>
      <w:r>
        <w:t>(Klärung des Verhältnisses der einschlägigen Normen zueinander und Auslegung derselben. Es ergibt sich, dass der im Amtshilfeersuchen vorgebrachte Sachverhalt einzig im Licht des [auszulegenden] DBA-USA [samt Protokoll] zu beurteilen ist und die im Abkommen 09 dargelegten Konstellationen nur dann und insoweit Anwendung finden, als sie sich im Rahmen des DBA-USA bewegen.)</w:t>
      </w:r>
    </w:p>
    <w:p>
      <w:r>
        <w:rPr>
          <w:b/>
        </w:rPr>
        <w:t>E. 6</w:t>
      </w:r>
    </w:p>
    <w:p>
      <w:r>
        <w:t>(Prüfung, ob das im konkreten Amtshilfegesuch dargelegte Verhalten als « Betrugsdelikte und dergleichen » im Sinn von Art. 26 DBA-USA und Ziff. 10 des Protokolls zum Staatsvertrag betrachtet werden kann. Das BVGer verneint dies und lehnt im vorliegenden Fall Amtshilfe an die USA ab. Das Urteil erging letztinstanzlich.)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